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E3" w:rsidRDefault="00AF2865" w:rsidP="002A1BB7">
      <w:pPr>
        <w:pStyle w:val="Punkts"/>
        <w:numPr>
          <w:ilvl w:val="0"/>
          <w:numId w:val="0"/>
        </w:numPr>
        <w:ind w:left="142"/>
        <w:rPr>
          <w:rFonts w:ascii="Verdana" w:hAnsi="Verdana"/>
          <w:color w:val="0F0F0F"/>
          <w:sz w:val="17"/>
          <w:szCs w:val="17"/>
        </w:rPr>
      </w:pPr>
      <w:bookmarkStart w:id="0" w:name="_GoBack"/>
      <w:bookmarkEnd w:id="0"/>
      <w:r>
        <w:rPr>
          <w:rFonts w:cs="Arial"/>
          <w:bCs/>
          <w:lang w:eastAsia="en-US"/>
        </w:rPr>
        <w:tab/>
      </w:r>
      <w:bookmarkStart w:id="1" w:name="_Toc382318706"/>
      <w:r w:rsidR="008C11E3">
        <w:rPr>
          <w:noProof/>
        </w:rPr>
        <w:drawing>
          <wp:inline distT="0" distB="0" distL="0" distR="0">
            <wp:extent cx="885825" cy="615573"/>
            <wp:effectExtent l="19050" t="0" r="9525" b="0"/>
            <wp:docPr id="7" name="Picture 1" descr="es_fla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_fla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5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11E3">
        <w:rPr>
          <w:noProof/>
        </w:rPr>
        <w:drawing>
          <wp:inline distT="0" distB="0" distL="0" distR="0">
            <wp:extent cx="1104900" cy="527338"/>
            <wp:effectExtent l="19050" t="0" r="0" b="0"/>
            <wp:docPr id="1" name="Picture 2" descr="ERAF_pil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AF_piln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27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1E3" w:rsidRDefault="008C11E3" w:rsidP="005D07D5">
      <w:pPr>
        <w:pStyle w:val="Punkts"/>
        <w:numPr>
          <w:ilvl w:val="0"/>
          <w:numId w:val="0"/>
        </w:numPr>
        <w:ind w:left="142"/>
        <w:rPr>
          <w:rFonts w:cs="Arial"/>
          <w:bCs/>
          <w:lang w:eastAsia="en-US"/>
        </w:rPr>
      </w:pPr>
    </w:p>
    <w:p w:rsidR="008C11E3" w:rsidRDefault="008C11E3" w:rsidP="005D07D5">
      <w:pPr>
        <w:pStyle w:val="Punkts"/>
        <w:numPr>
          <w:ilvl w:val="0"/>
          <w:numId w:val="0"/>
        </w:numPr>
        <w:ind w:left="142"/>
        <w:rPr>
          <w:rFonts w:cs="Arial"/>
          <w:bCs/>
          <w:lang w:eastAsia="en-US"/>
        </w:rPr>
      </w:pPr>
    </w:p>
    <w:bookmarkEnd w:id="1"/>
    <w:p w:rsidR="00532B42" w:rsidRPr="00532B42" w:rsidRDefault="00AC7049" w:rsidP="00532B42">
      <w:pPr>
        <w:pStyle w:val="nDaa"/>
        <w:tabs>
          <w:tab w:val="center" w:pos="4513"/>
          <w:tab w:val="right" w:pos="8666"/>
        </w:tabs>
      </w:pPr>
      <w:r>
        <w:t xml:space="preserve">Paziņojums par </w:t>
      </w:r>
      <w:r w:rsidR="00AF2865" w:rsidRPr="005D07D5">
        <w:t xml:space="preserve"> iepirkuma procedūru „</w:t>
      </w:r>
      <w:r w:rsidR="00532B42" w:rsidRPr="00532B42">
        <w:t>Ūdensapgādes un kanalizācijas tīklu būvdarb</w:t>
      </w:r>
      <w:r w:rsidR="00CE0A4B">
        <w:t>u</w:t>
      </w:r>
      <w:r w:rsidR="00532B42" w:rsidRPr="00532B42">
        <w:t xml:space="preserve"> un notekūdeņu attīrīšanas iekārtu rekonstrukcij</w:t>
      </w:r>
      <w:r w:rsidR="00CE0A4B">
        <w:t>as</w:t>
      </w:r>
      <w:r w:rsidR="00532B42" w:rsidRPr="00532B42">
        <w:t xml:space="preserve">   ERAF projekta „Ūdenssaimniecības attīstība Olaines novada Stūnīšu ciemā, II kārta”(3DP/3.4.1.1.0/13/APIA/CFLA/106)</w:t>
      </w:r>
      <w:r w:rsidR="002A1BB7">
        <w:t xml:space="preserve"> </w:t>
      </w:r>
      <w:r w:rsidR="00532B42" w:rsidRPr="00532B42">
        <w:t>realizācijai</w:t>
      </w:r>
      <w:r w:rsidR="00AF2865">
        <w:t>”</w:t>
      </w:r>
      <w:r w:rsidR="00CE0A4B">
        <w:t xml:space="preserve"> būvuzraudzība”</w:t>
      </w:r>
    </w:p>
    <w:p w:rsidR="00AF2865" w:rsidRDefault="00AF2865" w:rsidP="00532B42">
      <w:pPr>
        <w:pStyle w:val="nDaa"/>
        <w:tabs>
          <w:tab w:val="center" w:pos="4513"/>
          <w:tab w:val="right" w:pos="8666"/>
        </w:tabs>
        <w:rPr>
          <w:b w:val="0"/>
        </w:rPr>
      </w:pPr>
      <w:r w:rsidRPr="002870EC">
        <w:rPr>
          <w:b w:val="0"/>
        </w:rPr>
        <w:t>(iepirkums IDN: ERAF Jaunolaine, SIA Z 201</w:t>
      </w:r>
      <w:r w:rsidR="00532B42">
        <w:rPr>
          <w:b w:val="0"/>
        </w:rPr>
        <w:t>5</w:t>
      </w:r>
      <w:r w:rsidRPr="002870EC">
        <w:rPr>
          <w:b w:val="0"/>
        </w:rPr>
        <w:t>/0</w:t>
      </w:r>
      <w:r w:rsidR="00CE0A4B">
        <w:rPr>
          <w:b w:val="0"/>
        </w:rPr>
        <w:t>2</w:t>
      </w:r>
      <w:r w:rsidRPr="002870EC">
        <w:rPr>
          <w:b w:val="0"/>
        </w:rPr>
        <w:t>)</w:t>
      </w:r>
    </w:p>
    <w:p w:rsidR="00AC7049" w:rsidRPr="002A1BB7" w:rsidRDefault="00AC7049" w:rsidP="00532B42">
      <w:pPr>
        <w:pStyle w:val="nDaa"/>
        <w:tabs>
          <w:tab w:val="center" w:pos="4513"/>
          <w:tab w:val="right" w:pos="8666"/>
        </w:tabs>
      </w:pPr>
      <w:r w:rsidRPr="002A1BB7">
        <w:t xml:space="preserve">rezultātiem </w:t>
      </w:r>
    </w:p>
    <w:p w:rsidR="00AF2865" w:rsidRPr="00532B42" w:rsidRDefault="00AF2865" w:rsidP="00AF3792">
      <w:pPr>
        <w:pStyle w:val="nDaa"/>
        <w:tabs>
          <w:tab w:val="center" w:pos="4513"/>
          <w:tab w:val="right" w:pos="8666"/>
        </w:tabs>
        <w:jc w:val="both"/>
      </w:pPr>
    </w:p>
    <w:p w:rsidR="00532B42" w:rsidRPr="00A979F2" w:rsidRDefault="00AF2865" w:rsidP="00532B42">
      <w:pPr>
        <w:pStyle w:val="Rindkopa"/>
        <w:ind w:left="0"/>
      </w:pPr>
      <w:r w:rsidRPr="00532B42">
        <w:rPr>
          <w:b/>
        </w:rPr>
        <w:t>Iepirkuma priekšmets</w:t>
      </w:r>
      <w:r w:rsidRPr="000F315E">
        <w:t xml:space="preserve"> </w:t>
      </w:r>
      <w:bookmarkStart w:id="2" w:name="_Toc382318721"/>
      <w:bookmarkStart w:id="3" w:name="_Toc380660648"/>
      <w:r w:rsidR="00CE0A4B">
        <w:rPr>
          <w:rFonts w:cs="Arial"/>
          <w:spacing w:val="-4"/>
          <w:szCs w:val="20"/>
        </w:rPr>
        <w:t xml:space="preserve">- </w:t>
      </w:r>
      <w:r w:rsidR="00CE0A4B" w:rsidRPr="00331878">
        <w:rPr>
          <w:rFonts w:cs="Arial"/>
          <w:spacing w:val="-4"/>
          <w:szCs w:val="20"/>
        </w:rPr>
        <w:t xml:space="preserve"> Inženiera pienākumu izpilde, saskaņā ar Starptautiskās Inženierkonsultantu Federācijas (FIDIC) izstrādātajiem  „Būvniecības darbu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="00CE0A4B" w:rsidRPr="00331878">
          <w:rPr>
            <w:rFonts w:cs="Arial"/>
            <w:spacing w:val="-4"/>
            <w:szCs w:val="20"/>
          </w:rPr>
          <w:t>līguma</w:t>
        </w:r>
      </w:smartTag>
      <w:r w:rsidR="00CE0A4B" w:rsidRPr="00331878">
        <w:rPr>
          <w:rFonts w:cs="Arial"/>
          <w:spacing w:val="-4"/>
          <w:szCs w:val="20"/>
        </w:rPr>
        <w:t xml:space="preserve"> noteikumi būvniecības un inženierdarbiem, kuru projektēšanu veic pasūtītājs” noteikumiem  un būvuzraudzība,  Latvijas Republikas normatīvajos tiesību aktos noteiktajā kārtībā, sekojošiem būvdarbiem</w:t>
      </w:r>
      <w:r w:rsidR="00CE0A4B">
        <w:rPr>
          <w:rFonts w:cs="Arial"/>
          <w:spacing w:val="-4"/>
          <w:szCs w:val="20"/>
        </w:rPr>
        <w:t>:</w:t>
      </w:r>
    </w:p>
    <w:p w:rsidR="00532B42" w:rsidRPr="00792350" w:rsidRDefault="00532B42" w:rsidP="00532B42">
      <w:pPr>
        <w:pStyle w:val="Punkts"/>
        <w:numPr>
          <w:ilvl w:val="0"/>
          <w:numId w:val="7"/>
        </w:numPr>
        <w:ind w:hanging="436"/>
        <w:rPr>
          <w:b w:val="0"/>
        </w:rPr>
      </w:pPr>
      <w:bookmarkStart w:id="4" w:name="_Toc382318719"/>
      <w:r w:rsidRPr="000D1CBC">
        <w:rPr>
          <w:b w:val="0"/>
        </w:rPr>
        <w:t>m</w:t>
      </w:r>
      <w:r w:rsidRPr="00792350">
        <w:rPr>
          <w:b w:val="0"/>
        </w:rPr>
        <w:t xml:space="preserve">aģistrālo  ūdensapgādes L </w:t>
      </w:r>
      <w:r>
        <w:rPr>
          <w:b w:val="0"/>
        </w:rPr>
        <w:t>2515</w:t>
      </w:r>
      <w:r w:rsidRPr="00792350">
        <w:rPr>
          <w:b w:val="0"/>
        </w:rPr>
        <w:t xml:space="preserve"> m un kanalizācijas tīklu  L </w:t>
      </w:r>
      <w:r>
        <w:rPr>
          <w:b w:val="0"/>
        </w:rPr>
        <w:t>1788</w:t>
      </w:r>
      <w:r w:rsidRPr="00792350">
        <w:rPr>
          <w:b w:val="0"/>
        </w:rPr>
        <w:t xml:space="preserve"> m  p</w:t>
      </w:r>
      <w:r w:rsidR="00CE0A4B">
        <w:rPr>
          <w:b w:val="0"/>
        </w:rPr>
        <w:t>aplašināšanai</w:t>
      </w:r>
      <w:r>
        <w:rPr>
          <w:b w:val="0"/>
        </w:rPr>
        <w:t xml:space="preserve"> un rekonstrukcija</w:t>
      </w:r>
      <w:r w:rsidR="00CE0A4B">
        <w:rPr>
          <w:b w:val="0"/>
        </w:rPr>
        <w:t>i</w:t>
      </w:r>
      <w:r w:rsidRPr="00792350">
        <w:rPr>
          <w:b w:val="0"/>
        </w:rPr>
        <w:t>;</w:t>
      </w:r>
      <w:bookmarkEnd w:id="4"/>
    </w:p>
    <w:p w:rsidR="00532B42" w:rsidRDefault="00532B42" w:rsidP="00532B42">
      <w:pPr>
        <w:pStyle w:val="Punkts"/>
        <w:numPr>
          <w:ilvl w:val="0"/>
          <w:numId w:val="7"/>
        </w:numPr>
        <w:ind w:hanging="436"/>
        <w:rPr>
          <w:b w:val="0"/>
        </w:rPr>
      </w:pPr>
      <w:bookmarkStart w:id="5" w:name="_Toc382318720"/>
      <w:r>
        <w:rPr>
          <w:b w:val="0"/>
        </w:rPr>
        <w:t>trīs k</w:t>
      </w:r>
      <w:r w:rsidRPr="00792350">
        <w:rPr>
          <w:b w:val="0"/>
        </w:rPr>
        <w:t xml:space="preserve">analizācijas sūkņu staciju  (Q= </w:t>
      </w:r>
      <w:r>
        <w:rPr>
          <w:b w:val="0"/>
        </w:rPr>
        <w:t>6,5</w:t>
      </w:r>
      <w:r w:rsidRPr="00792350">
        <w:rPr>
          <w:b w:val="0"/>
        </w:rPr>
        <w:t xml:space="preserve"> m3/h; Q= </w:t>
      </w:r>
      <w:r>
        <w:rPr>
          <w:b w:val="0"/>
        </w:rPr>
        <w:t>12</w:t>
      </w:r>
      <w:r w:rsidRPr="00792350">
        <w:rPr>
          <w:b w:val="0"/>
        </w:rPr>
        <w:t xml:space="preserve"> m3/h; Q= </w:t>
      </w:r>
      <w:r>
        <w:rPr>
          <w:b w:val="0"/>
        </w:rPr>
        <w:t>18</w:t>
      </w:r>
      <w:r w:rsidRPr="00792350">
        <w:rPr>
          <w:b w:val="0"/>
        </w:rPr>
        <w:t xml:space="preserve"> m3/h)  un  kanalizācijas spied</w:t>
      </w:r>
      <w:r>
        <w:rPr>
          <w:b w:val="0"/>
        </w:rPr>
        <w:t>vadu, L 1206 m kopgarumā izbūve</w:t>
      </w:r>
      <w:r w:rsidR="00CE0A4B">
        <w:rPr>
          <w:b w:val="0"/>
        </w:rPr>
        <w:t>i</w:t>
      </w:r>
      <w:r w:rsidRPr="00792350">
        <w:rPr>
          <w:b w:val="0"/>
        </w:rPr>
        <w:t>;</w:t>
      </w:r>
      <w:bookmarkEnd w:id="5"/>
    </w:p>
    <w:p w:rsidR="00532B42" w:rsidRDefault="00532B42" w:rsidP="00532B42">
      <w:pPr>
        <w:pStyle w:val="Punkts"/>
        <w:numPr>
          <w:ilvl w:val="0"/>
          <w:numId w:val="7"/>
        </w:numPr>
        <w:ind w:hanging="436"/>
        <w:rPr>
          <w:b w:val="0"/>
        </w:rPr>
      </w:pPr>
      <w:r w:rsidRPr="00792350">
        <w:rPr>
          <w:b w:val="0"/>
        </w:rPr>
        <w:t xml:space="preserve">divu turpmāk neizmantojamo artēzisko aku (80 m un 130 m) </w:t>
      </w:r>
      <w:proofErr w:type="spellStart"/>
      <w:r w:rsidRPr="00792350">
        <w:rPr>
          <w:b w:val="0"/>
        </w:rPr>
        <w:t>tamponāža</w:t>
      </w:r>
      <w:r w:rsidR="00CE0A4B">
        <w:rPr>
          <w:b w:val="0"/>
        </w:rPr>
        <w:t>i</w:t>
      </w:r>
      <w:proofErr w:type="spellEnd"/>
      <w:r w:rsidRPr="00792350">
        <w:rPr>
          <w:b w:val="0"/>
        </w:rPr>
        <w:t>;</w:t>
      </w:r>
    </w:p>
    <w:p w:rsidR="00AF2865" w:rsidRPr="00532B42" w:rsidRDefault="00532B42" w:rsidP="00532B42">
      <w:pPr>
        <w:pStyle w:val="Punkts"/>
        <w:numPr>
          <w:ilvl w:val="0"/>
          <w:numId w:val="7"/>
        </w:numPr>
        <w:ind w:hanging="436"/>
        <w:rPr>
          <w:b w:val="0"/>
        </w:rPr>
      </w:pPr>
      <w:r w:rsidRPr="00532B42">
        <w:rPr>
          <w:b w:val="0"/>
        </w:rPr>
        <w:t>notekūdeņu attīrīšanas iekārtu  rekonstrukcija</w:t>
      </w:r>
      <w:r w:rsidR="00CE0A4B">
        <w:rPr>
          <w:b w:val="0"/>
        </w:rPr>
        <w:t>i</w:t>
      </w:r>
      <w:r w:rsidRPr="00532B42">
        <w:rPr>
          <w:b w:val="0"/>
        </w:rPr>
        <w:t xml:space="preserve"> palielinot iekārtu jaudu par 150 m³/</w:t>
      </w:r>
      <w:proofErr w:type="spellStart"/>
      <w:r w:rsidRPr="00532B42">
        <w:rPr>
          <w:b w:val="0"/>
        </w:rPr>
        <w:t>dnn</w:t>
      </w:r>
      <w:proofErr w:type="spellEnd"/>
      <w:r w:rsidR="00AF2865" w:rsidRPr="00532B42">
        <w:rPr>
          <w:b w:val="0"/>
        </w:rPr>
        <w:t>.</w:t>
      </w:r>
      <w:bookmarkEnd w:id="2"/>
    </w:p>
    <w:bookmarkEnd w:id="3"/>
    <w:p w:rsidR="00532B42" w:rsidRDefault="00532B42" w:rsidP="005D07D5">
      <w:pPr>
        <w:pStyle w:val="nDaa"/>
        <w:tabs>
          <w:tab w:val="center" w:pos="4513"/>
          <w:tab w:val="right" w:pos="8666"/>
        </w:tabs>
        <w:jc w:val="both"/>
        <w:rPr>
          <w:b w:val="0"/>
        </w:rPr>
      </w:pPr>
    </w:p>
    <w:p w:rsidR="00AF2865" w:rsidRDefault="00532B42" w:rsidP="00532B42">
      <w:pPr>
        <w:pStyle w:val="nDaa"/>
        <w:tabs>
          <w:tab w:val="center" w:pos="4513"/>
          <w:tab w:val="right" w:pos="8666"/>
        </w:tabs>
        <w:jc w:val="both"/>
      </w:pPr>
      <w:r w:rsidRPr="00E20449">
        <w:t xml:space="preserve">Iepirkuma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E20449">
          <w:t>līguma</w:t>
        </w:r>
      </w:smartTag>
      <w:r w:rsidRPr="00E20449">
        <w:t xml:space="preserve"> izpildes termiņš ir </w:t>
      </w:r>
      <w:r>
        <w:rPr>
          <w:b w:val="0"/>
          <w:iCs/>
        </w:rPr>
        <w:t>6</w:t>
      </w:r>
      <w:r>
        <w:rPr>
          <w:iCs/>
        </w:rPr>
        <w:t xml:space="preserve"> (seši) </w:t>
      </w:r>
      <w:r w:rsidRPr="003D5B78">
        <w:t xml:space="preserve">mēneši no </w:t>
      </w:r>
      <w:r>
        <w:t>Būvdarbu uzsākšanas datuma.</w:t>
      </w:r>
    </w:p>
    <w:p w:rsidR="00AC7049" w:rsidRDefault="00AC7049" w:rsidP="00532B42">
      <w:pPr>
        <w:pStyle w:val="nDaa"/>
        <w:tabs>
          <w:tab w:val="center" w:pos="4513"/>
          <w:tab w:val="right" w:pos="8666"/>
        </w:tabs>
        <w:jc w:val="both"/>
        <w:rPr>
          <w:b w:val="0"/>
        </w:rPr>
      </w:pPr>
    </w:p>
    <w:p w:rsidR="00AC7049" w:rsidRPr="00312FFE" w:rsidRDefault="00AC7049" w:rsidP="00AC7049">
      <w:pPr>
        <w:pStyle w:val="nDaa"/>
        <w:tabs>
          <w:tab w:val="left" w:pos="851"/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12FFE">
        <w:rPr>
          <w:rFonts w:ascii="Times New Roman" w:hAnsi="Times New Roman" w:cs="Times New Roman"/>
          <w:b w:val="0"/>
          <w:bCs w:val="0"/>
          <w:sz w:val="22"/>
          <w:szCs w:val="22"/>
        </w:rPr>
        <w:t>Iepirkuma nolikumā noteiktajā termiņā līdz 201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Pr="00312FF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gada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10. martam</w:t>
      </w:r>
      <w:r w:rsidRPr="00312FF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pulksten 11.00  iepirkuma komisija ir saņēmusi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četrus</w:t>
      </w:r>
      <w:r w:rsidRPr="00312FF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pretendētu piedāvājumus, tai skaitā: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792"/>
        <w:gridCol w:w="2976"/>
        <w:gridCol w:w="2694"/>
      </w:tblGrid>
      <w:tr w:rsidR="00AC7049" w:rsidRPr="00312FFE" w:rsidTr="0069169A">
        <w:tc>
          <w:tcPr>
            <w:tcW w:w="603" w:type="dxa"/>
            <w:vAlign w:val="center"/>
          </w:tcPr>
          <w:p w:rsidR="00AC7049" w:rsidRPr="00C55246" w:rsidRDefault="00AC7049" w:rsidP="0069169A">
            <w:pPr>
              <w:pStyle w:val="BodyText"/>
              <w:rPr>
                <w:b/>
                <w:sz w:val="22"/>
                <w:szCs w:val="22"/>
              </w:rPr>
            </w:pPr>
            <w:r w:rsidRPr="00C55246">
              <w:rPr>
                <w:b/>
                <w:sz w:val="22"/>
                <w:szCs w:val="22"/>
              </w:rPr>
              <w:t xml:space="preserve">Nr. </w:t>
            </w:r>
          </w:p>
          <w:p w:rsidR="00AC7049" w:rsidRPr="00C55246" w:rsidRDefault="00AC7049" w:rsidP="0069169A">
            <w:pPr>
              <w:pStyle w:val="BodyText"/>
              <w:rPr>
                <w:b/>
                <w:sz w:val="22"/>
                <w:szCs w:val="22"/>
              </w:rPr>
            </w:pPr>
            <w:r w:rsidRPr="00C55246">
              <w:rPr>
                <w:b/>
                <w:sz w:val="22"/>
                <w:szCs w:val="22"/>
              </w:rPr>
              <w:t>p.k.</w:t>
            </w:r>
          </w:p>
        </w:tc>
        <w:tc>
          <w:tcPr>
            <w:tcW w:w="3792" w:type="dxa"/>
            <w:vAlign w:val="center"/>
          </w:tcPr>
          <w:p w:rsidR="00AC7049" w:rsidRPr="00C55246" w:rsidRDefault="00AC7049" w:rsidP="0069169A">
            <w:pPr>
              <w:pStyle w:val="BodyText"/>
              <w:ind w:left="-38"/>
              <w:rPr>
                <w:b/>
                <w:sz w:val="22"/>
                <w:szCs w:val="22"/>
              </w:rPr>
            </w:pPr>
            <w:r w:rsidRPr="00C55246">
              <w:rPr>
                <w:b/>
                <w:sz w:val="22"/>
                <w:szCs w:val="22"/>
              </w:rPr>
              <w:t>Pretendenta nosaukums un vienotais reģ. Nr.</w:t>
            </w:r>
          </w:p>
        </w:tc>
        <w:tc>
          <w:tcPr>
            <w:tcW w:w="2976" w:type="dxa"/>
            <w:vAlign w:val="center"/>
          </w:tcPr>
          <w:p w:rsidR="00AC7049" w:rsidRPr="00C55246" w:rsidRDefault="00AC7049" w:rsidP="0069169A">
            <w:pPr>
              <w:pStyle w:val="BodyText"/>
              <w:ind w:left="-65" w:firstLine="12"/>
              <w:rPr>
                <w:b/>
                <w:sz w:val="22"/>
                <w:szCs w:val="22"/>
              </w:rPr>
            </w:pPr>
            <w:r w:rsidRPr="00C55246">
              <w:rPr>
                <w:b/>
                <w:sz w:val="22"/>
                <w:szCs w:val="22"/>
              </w:rPr>
              <w:t>Piedāvājuma iesniegšanas veids un laiks.</w:t>
            </w:r>
          </w:p>
        </w:tc>
        <w:tc>
          <w:tcPr>
            <w:tcW w:w="2694" w:type="dxa"/>
            <w:vAlign w:val="center"/>
          </w:tcPr>
          <w:p w:rsidR="00AC7049" w:rsidRPr="00C55246" w:rsidRDefault="00AC7049" w:rsidP="0069169A">
            <w:pPr>
              <w:pStyle w:val="BodyText"/>
              <w:ind w:left="33" w:right="176"/>
              <w:rPr>
                <w:b/>
                <w:sz w:val="22"/>
                <w:szCs w:val="22"/>
              </w:rPr>
            </w:pPr>
            <w:r w:rsidRPr="00C55246">
              <w:rPr>
                <w:b/>
                <w:sz w:val="22"/>
                <w:szCs w:val="22"/>
              </w:rPr>
              <w:t>Piedāvājuma cena, EUR         (bez PVN)</w:t>
            </w:r>
          </w:p>
        </w:tc>
      </w:tr>
      <w:tr w:rsidR="00AC7049" w:rsidRPr="00312FFE" w:rsidTr="0069169A">
        <w:tc>
          <w:tcPr>
            <w:tcW w:w="603" w:type="dxa"/>
          </w:tcPr>
          <w:p w:rsidR="00AC7049" w:rsidRPr="00C55246" w:rsidRDefault="00AC7049" w:rsidP="0069169A">
            <w:pPr>
              <w:pStyle w:val="BodyText"/>
              <w:ind w:left="-33"/>
              <w:rPr>
                <w:sz w:val="22"/>
                <w:szCs w:val="22"/>
              </w:rPr>
            </w:pPr>
            <w:r w:rsidRPr="00C55246">
              <w:rPr>
                <w:sz w:val="22"/>
                <w:szCs w:val="22"/>
              </w:rPr>
              <w:t>1.</w:t>
            </w:r>
          </w:p>
        </w:tc>
        <w:tc>
          <w:tcPr>
            <w:tcW w:w="3792" w:type="dxa"/>
            <w:vAlign w:val="center"/>
          </w:tcPr>
          <w:p w:rsidR="00AC7049" w:rsidRPr="00C55246" w:rsidRDefault="00AC7049" w:rsidP="0069169A">
            <w:pPr>
              <w:pStyle w:val="BodyText"/>
              <w:ind w:left="-33"/>
              <w:rPr>
                <w:sz w:val="22"/>
                <w:szCs w:val="22"/>
              </w:rPr>
            </w:pPr>
            <w:r w:rsidRPr="00C55246">
              <w:rPr>
                <w:rFonts w:cs="Tahoma"/>
                <w:szCs w:val="22"/>
              </w:rPr>
              <w:t>SIA  „</w:t>
            </w:r>
            <w:proofErr w:type="spellStart"/>
            <w:r w:rsidRPr="00C55246">
              <w:rPr>
                <w:rFonts w:cs="Tahoma"/>
                <w:szCs w:val="22"/>
              </w:rPr>
              <w:t>Jurēvičs</w:t>
            </w:r>
            <w:proofErr w:type="spellEnd"/>
            <w:r w:rsidRPr="00C55246">
              <w:rPr>
                <w:rFonts w:cs="Tahoma"/>
                <w:szCs w:val="22"/>
              </w:rPr>
              <w:t xml:space="preserve"> un partneri”, </w:t>
            </w:r>
            <w:proofErr w:type="spellStart"/>
            <w:r w:rsidRPr="00C55246">
              <w:rPr>
                <w:rFonts w:cs="Tahoma"/>
                <w:szCs w:val="22"/>
              </w:rPr>
              <w:t>vien.reģ.nr</w:t>
            </w:r>
            <w:proofErr w:type="spellEnd"/>
            <w:r w:rsidRPr="00C55246">
              <w:rPr>
                <w:rFonts w:cs="Tahoma"/>
                <w:szCs w:val="22"/>
              </w:rPr>
              <w:t xml:space="preserve">. 40103122882  </w:t>
            </w:r>
          </w:p>
        </w:tc>
        <w:tc>
          <w:tcPr>
            <w:tcW w:w="2976" w:type="dxa"/>
          </w:tcPr>
          <w:p w:rsidR="00AC7049" w:rsidRPr="00C55246" w:rsidRDefault="00AC7049" w:rsidP="0069169A">
            <w:pPr>
              <w:pStyle w:val="BodyText"/>
              <w:jc w:val="both"/>
              <w:rPr>
                <w:sz w:val="22"/>
                <w:szCs w:val="22"/>
              </w:rPr>
            </w:pPr>
            <w:r w:rsidRPr="00C55246">
              <w:rPr>
                <w:sz w:val="22"/>
                <w:szCs w:val="22"/>
              </w:rPr>
              <w:t>Iesniegts personīgi 10.03.15. plkst. 10.10</w:t>
            </w:r>
          </w:p>
        </w:tc>
        <w:tc>
          <w:tcPr>
            <w:tcW w:w="2694" w:type="dxa"/>
            <w:vAlign w:val="center"/>
          </w:tcPr>
          <w:p w:rsidR="00AC7049" w:rsidRPr="00C55246" w:rsidRDefault="00AC7049" w:rsidP="0069169A">
            <w:pPr>
              <w:pStyle w:val="BodyText"/>
              <w:ind w:left="33" w:right="317" w:hanging="33"/>
              <w:jc w:val="right"/>
              <w:rPr>
                <w:b/>
                <w:sz w:val="22"/>
                <w:szCs w:val="22"/>
              </w:rPr>
            </w:pPr>
            <w:r w:rsidRPr="00C55246">
              <w:rPr>
                <w:b/>
                <w:sz w:val="22"/>
                <w:szCs w:val="22"/>
              </w:rPr>
              <w:t>22 200,00</w:t>
            </w:r>
          </w:p>
        </w:tc>
      </w:tr>
      <w:tr w:rsidR="00AC7049" w:rsidRPr="00312FFE" w:rsidTr="0069169A">
        <w:tc>
          <w:tcPr>
            <w:tcW w:w="603" w:type="dxa"/>
          </w:tcPr>
          <w:p w:rsidR="00AC7049" w:rsidRPr="00C55246" w:rsidRDefault="00AC7049" w:rsidP="0069169A">
            <w:pPr>
              <w:pStyle w:val="BodyText"/>
              <w:ind w:left="-33"/>
              <w:rPr>
                <w:sz w:val="22"/>
                <w:szCs w:val="22"/>
              </w:rPr>
            </w:pPr>
            <w:r w:rsidRPr="00C55246">
              <w:rPr>
                <w:sz w:val="22"/>
                <w:szCs w:val="22"/>
              </w:rPr>
              <w:t>2.</w:t>
            </w:r>
          </w:p>
        </w:tc>
        <w:tc>
          <w:tcPr>
            <w:tcW w:w="3792" w:type="dxa"/>
            <w:vAlign w:val="center"/>
          </w:tcPr>
          <w:p w:rsidR="00AC7049" w:rsidRPr="00C55246" w:rsidRDefault="00AC7049" w:rsidP="0069169A">
            <w:pPr>
              <w:pStyle w:val="BodyText"/>
              <w:ind w:left="-33"/>
              <w:rPr>
                <w:sz w:val="22"/>
                <w:szCs w:val="22"/>
              </w:rPr>
            </w:pPr>
            <w:r w:rsidRPr="00C55246">
              <w:rPr>
                <w:sz w:val="22"/>
                <w:szCs w:val="22"/>
              </w:rPr>
              <w:t>SIA „</w:t>
            </w:r>
            <w:proofErr w:type="spellStart"/>
            <w:r w:rsidRPr="00C55246">
              <w:rPr>
                <w:sz w:val="22"/>
                <w:szCs w:val="22"/>
              </w:rPr>
              <w:t>Lakalme</w:t>
            </w:r>
            <w:proofErr w:type="spellEnd"/>
            <w:r w:rsidRPr="00C55246">
              <w:rPr>
                <w:sz w:val="22"/>
                <w:szCs w:val="22"/>
              </w:rPr>
              <w:t xml:space="preserve">”, vienotais reģ. Nr.40003379590 </w:t>
            </w:r>
          </w:p>
        </w:tc>
        <w:tc>
          <w:tcPr>
            <w:tcW w:w="2976" w:type="dxa"/>
          </w:tcPr>
          <w:p w:rsidR="00AC7049" w:rsidRPr="00C55246" w:rsidRDefault="00AC7049" w:rsidP="0069169A">
            <w:pPr>
              <w:pStyle w:val="BodyText"/>
              <w:jc w:val="both"/>
              <w:rPr>
                <w:sz w:val="22"/>
                <w:szCs w:val="22"/>
              </w:rPr>
            </w:pPr>
            <w:r w:rsidRPr="00C55246">
              <w:rPr>
                <w:sz w:val="22"/>
                <w:szCs w:val="22"/>
              </w:rPr>
              <w:t>Iesniegts personīgi 10.03.15. plkst. 10.40</w:t>
            </w:r>
          </w:p>
        </w:tc>
        <w:tc>
          <w:tcPr>
            <w:tcW w:w="2694" w:type="dxa"/>
            <w:vAlign w:val="center"/>
          </w:tcPr>
          <w:p w:rsidR="00AC7049" w:rsidRPr="00C55246" w:rsidRDefault="00AC7049" w:rsidP="0069169A">
            <w:pPr>
              <w:pStyle w:val="BodyText"/>
              <w:ind w:left="33" w:right="317" w:hanging="33"/>
              <w:jc w:val="right"/>
              <w:rPr>
                <w:b/>
                <w:sz w:val="22"/>
                <w:szCs w:val="22"/>
              </w:rPr>
            </w:pPr>
            <w:r w:rsidRPr="00C55246">
              <w:rPr>
                <w:b/>
                <w:sz w:val="22"/>
                <w:szCs w:val="22"/>
              </w:rPr>
              <w:t xml:space="preserve">  8 200,00</w:t>
            </w:r>
          </w:p>
        </w:tc>
      </w:tr>
      <w:tr w:rsidR="00AC7049" w:rsidRPr="00312FFE" w:rsidTr="0069169A">
        <w:tc>
          <w:tcPr>
            <w:tcW w:w="603" w:type="dxa"/>
          </w:tcPr>
          <w:p w:rsidR="00AC7049" w:rsidRPr="00C55246" w:rsidRDefault="00AC7049" w:rsidP="0069169A">
            <w:pPr>
              <w:pStyle w:val="BodyText"/>
              <w:ind w:left="-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55246">
              <w:rPr>
                <w:sz w:val="22"/>
                <w:szCs w:val="22"/>
              </w:rPr>
              <w:t>.</w:t>
            </w:r>
          </w:p>
        </w:tc>
        <w:tc>
          <w:tcPr>
            <w:tcW w:w="3792" w:type="dxa"/>
            <w:vAlign w:val="center"/>
          </w:tcPr>
          <w:p w:rsidR="00AC7049" w:rsidRPr="00C55246" w:rsidRDefault="00AC7049" w:rsidP="0069169A">
            <w:pPr>
              <w:pStyle w:val="BodyText"/>
              <w:ind w:left="-33"/>
              <w:rPr>
                <w:sz w:val="22"/>
                <w:szCs w:val="22"/>
              </w:rPr>
            </w:pPr>
            <w:r w:rsidRPr="00C55246">
              <w:rPr>
                <w:sz w:val="22"/>
                <w:szCs w:val="22"/>
              </w:rPr>
              <w:t>SIA „</w:t>
            </w:r>
            <w:proofErr w:type="spellStart"/>
            <w:r w:rsidRPr="00C55246">
              <w:rPr>
                <w:sz w:val="22"/>
                <w:szCs w:val="22"/>
              </w:rPr>
              <w:t>BaltLine</w:t>
            </w:r>
            <w:proofErr w:type="spellEnd"/>
            <w:r w:rsidRPr="00C55246">
              <w:rPr>
                <w:sz w:val="22"/>
                <w:szCs w:val="22"/>
              </w:rPr>
              <w:t xml:space="preserve"> </w:t>
            </w:r>
            <w:proofErr w:type="spellStart"/>
            <w:r w:rsidRPr="00C55246">
              <w:rPr>
                <w:sz w:val="22"/>
                <w:szCs w:val="22"/>
              </w:rPr>
              <w:t>Globe</w:t>
            </w:r>
            <w:proofErr w:type="spellEnd"/>
            <w:r w:rsidRPr="00C55246">
              <w:rPr>
                <w:sz w:val="22"/>
                <w:szCs w:val="22"/>
              </w:rPr>
              <w:t>”, vienotais reģ. Nr.40103780856</w:t>
            </w:r>
          </w:p>
        </w:tc>
        <w:tc>
          <w:tcPr>
            <w:tcW w:w="2976" w:type="dxa"/>
          </w:tcPr>
          <w:p w:rsidR="00AC7049" w:rsidRPr="00C55246" w:rsidRDefault="00AC7049" w:rsidP="0069169A">
            <w:pPr>
              <w:pStyle w:val="BodyText"/>
              <w:jc w:val="both"/>
              <w:rPr>
                <w:sz w:val="22"/>
                <w:szCs w:val="22"/>
              </w:rPr>
            </w:pPr>
            <w:r w:rsidRPr="00C55246">
              <w:rPr>
                <w:sz w:val="22"/>
                <w:szCs w:val="22"/>
              </w:rPr>
              <w:t>Iesniegts personīgi 10.03.15. plkst. 10.41</w:t>
            </w:r>
          </w:p>
        </w:tc>
        <w:tc>
          <w:tcPr>
            <w:tcW w:w="2694" w:type="dxa"/>
            <w:vAlign w:val="center"/>
          </w:tcPr>
          <w:p w:rsidR="00AC7049" w:rsidRPr="00C55246" w:rsidRDefault="00AC7049" w:rsidP="0069169A">
            <w:pPr>
              <w:pStyle w:val="BodyText"/>
              <w:ind w:left="33" w:right="317" w:hanging="33"/>
              <w:jc w:val="right"/>
              <w:rPr>
                <w:b/>
                <w:sz w:val="22"/>
                <w:szCs w:val="22"/>
              </w:rPr>
            </w:pPr>
            <w:r w:rsidRPr="00C55246">
              <w:rPr>
                <w:b/>
                <w:sz w:val="22"/>
                <w:szCs w:val="22"/>
              </w:rPr>
              <w:t xml:space="preserve"> 6 900,00</w:t>
            </w:r>
          </w:p>
        </w:tc>
      </w:tr>
      <w:tr w:rsidR="00AC7049" w:rsidRPr="00312FFE" w:rsidTr="0069169A">
        <w:tc>
          <w:tcPr>
            <w:tcW w:w="603" w:type="dxa"/>
          </w:tcPr>
          <w:p w:rsidR="00AC7049" w:rsidRPr="00C55246" w:rsidRDefault="00AC7049" w:rsidP="0069169A">
            <w:pPr>
              <w:pStyle w:val="BodyText"/>
              <w:ind w:left="-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55246">
              <w:rPr>
                <w:sz w:val="22"/>
                <w:szCs w:val="22"/>
              </w:rPr>
              <w:t>.</w:t>
            </w:r>
          </w:p>
        </w:tc>
        <w:tc>
          <w:tcPr>
            <w:tcW w:w="3792" w:type="dxa"/>
            <w:vAlign w:val="center"/>
          </w:tcPr>
          <w:p w:rsidR="00AC7049" w:rsidRPr="00C55246" w:rsidRDefault="00AC7049" w:rsidP="0069169A">
            <w:pPr>
              <w:pStyle w:val="BodyText"/>
              <w:ind w:left="-33"/>
              <w:rPr>
                <w:sz w:val="22"/>
                <w:szCs w:val="22"/>
              </w:rPr>
            </w:pPr>
            <w:r w:rsidRPr="00C55246">
              <w:rPr>
                <w:sz w:val="22"/>
                <w:szCs w:val="22"/>
              </w:rPr>
              <w:t>SIA „</w:t>
            </w:r>
            <w:proofErr w:type="spellStart"/>
            <w:r w:rsidRPr="00C55246">
              <w:rPr>
                <w:sz w:val="22"/>
                <w:szCs w:val="22"/>
              </w:rPr>
              <w:t>Geo</w:t>
            </w:r>
            <w:proofErr w:type="spellEnd"/>
            <w:r w:rsidRPr="00C55246">
              <w:rPr>
                <w:sz w:val="22"/>
                <w:szCs w:val="22"/>
              </w:rPr>
              <w:t xml:space="preserve"> </w:t>
            </w:r>
            <w:proofErr w:type="spellStart"/>
            <w:r w:rsidRPr="00C55246">
              <w:rPr>
                <w:sz w:val="22"/>
                <w:szCs w:val="22"/>
              </w:rPr>
              <w:t>Consultants</w:t>
            </w:r>
            <w:proofErr w:type="spellEnd"/>
            <w:r w:rsidRPr="00C55246">
              <w:rPr>
                <w:sz w:val="22"/>
                <w:szCs w:val="22"/>
              </w:rPr>
              <w:t>”, vienotais reģ. Nr.40003340949</w:t>
            </w:r>
          </w:p>
        </w:tc>
        <w:tc>
          <w:tcPr>
            <w:tcW w:w="2976" w:type="dxa"/>
          </w:tcPr>
          <w:p w:rsidR="00AC7049" w:rsidRPr="00C55246" w:rsidRDefault="00AC7049" w:rsidP="0069169A">
            <w:pPr>
              <w:pStyle w:val="BodyText"/>
              <w:jc w:val="both"/>
              <w:rPr>
                <w:sz w:val="22"/>
                <w:szCs w:val="22"/>
              </w:rPr>
            </w:pPr>
            <w:r w:rsidRPr="00C55246">
              <w:rPr>
                <w:sz w:val="22"/>
                <w:szCs w:val="22"/>
              </w:rPr>
              <w:t>Iesniegts personīgi 10.03.15. plkst. 10.48</w:t>
            </w:r>
          </w:p>
        </w:tc>
        <w:tc>
          <w:tcPr>
            <w:tcW w:w="2694" w:type="dxa"/>
            <w:vAlign w:val="center"/>
          </w:tcPr>
          <w:p w:rsidR="00AC7049" w:rsidRPr="00C55246" w:rsidRDefault="00AC7049" w:rsidP="0069169A">
            <w:pPr>
              <w:pStyle w:val="BodyText"/>
              <w:ind w:left="33" w:right="317" w:hanging="33"/>
              <w:jc w:val="right"/>
              <w:rPr>
                <w:b/>
                <w:sz w:val="22"/>
                <w:szCs w:val="22"/>
              </w:rPr>
            </w:pPr>
            <w:r w:rsidRPr="00C55246">
              <w:rPr>
                <w:b/>
                <w:sz w:val="22"/>
                <w:szCs w:val="22"/>
              </w:rPr>
              <w:t xml:space="preserve"> 16 690,00</w:t>
            </w:r>
          </w:p>
        </w:tc>
      </w:tr>
    </w:tbl>
    <w:p w:rsidR="00AC7049" w:rsidRPr="00312FFE" w:rsidRDefault="00AC7049" w:rsidP="00AC7049">
      <w:pPr>
        <w:pStyle w:val="nDaa"/>
        <w:tabs>
          <w:tab w:val="left" w:pos="851"/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12FFE">
        <w:rPr>
          <w:rFonts w:ascii="Times New Roman" w:hAnsi="Times New Roman" w:cs="Times New Roman"/>
          <w:b w:val="0"/>
          <w:bCs w:val="0"/>
          <w:sz w:val="22"/>
          <w:szCs w:val="22"/>
        </w:rPr>
        <w:tab/>
        <w:t>Veicot Pre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tendentu piedāvājumu izvērtēšanu,</w:t>
      </w:r>
      <w:r w:rsidRPr="00312FF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iepirkuma komisija ir atzinusi, ka </w:t>
      </w:r>
      <w:r w:rsidRPr="002A1BB7">
        <w:rPr>
          <w:rFonts w:ascii="Times New Roman" w:hAnsi="Times New Roman" w:cs="Times New Roman"/>
          <w:b w:val="0"/>
          <w:bCs w:val="0"/>
          <w:sz w:val="22"/>
          <w:szCs w:val="22"/>
        </w:rPr>
        <w:t>SIA  „</w:t>
      </w:r>
      <w:proofErr w:type="spellStart"/>
      <w:r w:rsidRPr="002A1BB7">
        <w:rPr>
          <w:rFonts w:ascii="Times New Roman" w:hAnsi="Times New Roman" w:cs="Times New Roman"/>
          <w:b w:val="0"/>
          <w:bCs w:val="0"/>
          <w:sz w:val="22"/>
          <w:szCs w:val="22"/>
        </w:rPr>
        <w:t>Jurēvičs</w:t>
      </w:r>
      <w:proofErr w:type="spellEnd"/>
      <w:r w:rsidRPr="002A1BB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un partneri” </w:t>
      </w:r>
      <w:r w:rsidRPr="00312FFE">
        <w:rPr>
          <w:rFonts w:ascii="Times New Roman" w:hAnsi="Times New Roman" w:cs="Times New Roman"/>
          <w:b w:val="0"/>
          <w:bCs w:val="0"/>
          <w:sz w:val="22"/>
          <w:szCs w:val="22"/>
        </w:rPr>
        <w:t>un SIA „</w:t>
      </w:r>
      <w:proofErr w:type="spellStart"/>
      <w:r w:rsidRPr="00312FFE">
        <w:rPr>
          <w:rFonts w:ascii="Times New Roman" w:hAnsi="Times New Roman" w:cs="Times New Roman"/>
          <w:b w:val="0"/>
          <w:bCs w:val="0"/>
          <w:sz w:val="22"/>
          <w:szCs w:val="22"/>
        </w:rPr>
        <w:t>Balt</w:t>
      </w:r>
      <w:proofErr w:type="spellEnd"/>
      <w:r w:rsidRPr="00312FF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312FFE">
        <w:rPr>
          <w:rFonts w:ascii="Times New Roman" w:hAnsi="Times New Roman" w:cs="Times New Roman"/>
          <w:b w:val="0"/>
          <w:bCs w:val="0"/>
          <w:sz w:val="22"/>
          <w:szCs w:val="22"/>
        </w:rPr>
        <w:t>Line</w:t>
      </w:r>
      <w:proofErr w:type="spellEnd"/>
      <w:r w:rsidRPr="00312FF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312FFE">
        <w:rPr>
          <w:rFonts w:ascii="Times New Roman" w:hAnsi="Times New Roman" w:cs="Times New Roman"/>
          <w:b w:val="0"/>
          <w:bCs w:val="0"/>
          <w:sz w:val="22"/>
          <w:szCs w:val="22"/>
        </w:rPr>
        <w:t>Globe</w:t>
      </w:r>
      <w:proofErr w:type="spellEnd"/>
      <w:r w:rsidRPr="00312FFE">
        <w:rPr>
          <w:rFonts w:ascii="Times New Roman" w:hAnsi="Times New Roman" w:cs="Times New Roman"/>
          <w:b w:val="0"/>
          <w:bCs w:val="0"/>
          <w:sz w:val="22"/>
          <w:szCs w:val="22"/>
        </w:rPr>
        <w:t>”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piedāvājumi </w:t>
      </w:r>
      <w:r w:rsidRPr="00312FF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ne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at</w:t>
      </w:r>
      <w:r w:rsidRPr="00312FF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bilst iepirkuma nolikumā noteiktām prasībām,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līdz ar to minēto </w:t>
      </w:r>
      <w:r w:rsidRPr="00312FF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pretendētu  piedāvājumi netika vērtēti saskaņā ar  iepirkuma nolikuma  punktā 13.9 un 13.10. noteiktajiem vērtēšanas kritērijiem. </w:t>
      </w:r>
    </w:p>
    <w:p w:rsidR="00AC7049" w:rsidRPr="002A1BB7" w:rsidRDefault="00AC7049" w:rsidP="00AC7049">
      <w:pPr>
        <w:pStyle w:val="nDaa"/>
        <w:tabs>
          <w:tab w:val="left" w:pos="851"/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12FFE">
        <w:rPr>
          <w:rFonts w:ascii="Times New Roman" w:hAnsi="Times New Roman" w:cs="Times New Roman"/>
          <w:b w:val="0"/>
          <w:bCs w:val="0"/>
          <w:sz w:val="22"/>
          <w:szCs w:val="22"/>
        </w:rPr>
        <w:tab/>
        <w:t>Vērtējot iepirkuma nolikuma prasībām atbilstošo pretendentu</w:t>
      </w:r>
      <w:r w:rsidRPr="002A1BB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SIA „</w:t>
      </w:r>
      <w:proofErr w:type="spellStart"/>
      <w:r w:rsidRPr="002A1BB7">
        <w:rPr>
          <w:rFonts w:ascii="Times New Roman" w:hAnsi="Times New Roman" w:cs="Times New Roman"/>
          <w:b w:val="0"/>
          <w:bCs w:val="0"/>
          <w:sz w:val="22"/>
          <w:szCs w:val="22"/>
        </w:rPr>
        <w:t>Lakalme</w:t>
      </w:r>
      <w:proofErr w:type="spellEnd"/>
      <w:r w:rsidRPr="002A1BB7">
        <w:rPr>
          <w:rFonts w:ascii="Times New Roman" w:hAnsi="Times New Roman" w:cs="Times New Roman"/>
          <w:b w:val="0"/>
          <w:bCs w:val="0"/>
          <w:sz w:val="22"/>
          <w:szCs w:val="22"/>
        </w:rPr>
        <w:t>” un   SIA „</w:t>
      </w:r>
      <w:proofErr w:type="spellStart"/>
      <w:r w:rsidRPr="002A1BB7">
        <w:rPr>
          <w:rFonts w:ascii="Times New Roman" w:hAnsi="Times New Roman" w:cs="Times New Roman"/>
          <w:b w:val="0"/>
          <w:bCs w:val="0"/>
          <w:sz w:val="22"/>
          <w:szCs w:val="22"/>
        </w:rPr>
        <w:t>Geo</w:t>
      </w:r>
      <w:proofErr w:type="spellEnd"/>
      <w:r w:rsidRPr="002A1BB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2A1BB7">
        <w:rPr>
          <w:rFonts w:ascii="Times New Roman" w:hAnsi="Times New Roman" w:cs="Times New Roman"/>
          <w:b w:val="0"/>
          <w:bCs w:val="0"/>
          <w:sz w:val="22"/>
          <w:szCs w:val="22"/>
        </w:rPr>
        <w:t>Consultants</w:t>
      </w:r>
      <w:proofErr w:type="spellEnd"/>
      <w:r w:rsidRPr="002A1BB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”, </w:t>
      </w:r>
      <w:r w:rsidRPr="00312FFE">
        <w:rPr>
          <w:rFonts w:ascii="Times New Roman" w:hAnsi="Times New Roman" w:cs="Times New Roman"/>
          <w:b w:val="0"/>
          <w:bCs w:val="0"/>
          <w:sz w:val="22"/>
          <w:szCs w:val="22"/>
        </w:rPr>
        <w:t>piedāvājumus, saskaņā ar  iepirkuma nolikuma  punktā 13.9 un 13.10. noteiktajiem vērtēšanas kritērijiem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2A1BB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par iepi</w:t>
      </w:r>
      <w:r w:rsidRPr="00312FFE">
        <w:rPr>
          <w:rFonts w:ascii="Times New Roman" w:hAnsi="Times New Roman" w:cs="Times New Roman"/>
          <w:b w:val="0"/>
          <w:bCs w:val="0"/>
          <w:sz w:val="22"/>
          <w:szCs w:val="22"/>
        </w:rPr>
        <w:t>rkuma pro</w:t>
      </w:r>
      <w:r w:rsidR="002A1BB7">
        <w:rPr>
          <w:rFonts w:ascii="Times New Roman" w:hAnsi="Times New Roman" w:cs="Times New Roman"/>
          <w:b w:val="0"/>
          <w:bCs w:val="0"/>
          <w:sz w:val="22"/>
          <w:szCs w:val="22"/>
        </w:rPr>
        <w:t>c</w:t>
      </w:r>
      <w:r w:rsidRPr="00312FF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edūras uzvarētāju tika atzīta </w:t>
      </w:r>
      <w:r w:rsidRPr="002A1BB7">
        <w:rPr>
          <w:rFonts w:ascii="Times New Roman" w:hAnsi="Times New Roman" w:cs="Times New Roman"/>
          <w:b w:val="0"/>
          <w:bCs w:val="0"/>
          <w:sz w:val="22"/>
          <w:szCs w:val="22"/>
        </w:rPr>
        <w:t>SIA „</w:t>
      </w:r>
      <w:proofErr w:type="spellStart"/>
      <w:r w:rsidRPr="002A1BB7">
        <w:rPr>
          <w:rFonts w:ascii="Times New Roman" w:hAnsi="Times New Roman" w:cs="Times New Roman"/>
          <w:b w:val="0"/>
          <w:bCs w:val="0"/>
          <w:sz w:val="22"/>
          <w:szCs w:val="22"/>
        </w:rPr>
        <w:t>Lakalme</w:t>
      </w:r>
      <w:proofErr w:type="spellEnd"/>
      <w:r w:rsidRPr="002A1BB7">
        <w:rPr>
          <w:rFonts w:ascii="Times New Roman" w:hAnsi="Times New Roman" w:cs="Times New Roman"/>
          <w:b w:val="0"/>
          <w:bCs w:val="0"/>
          <w:sz w:val="22"/>
          <w:szCs w:val="22"/>
        </w:rPr>
        <w:t>”, ar piedāvāto zemāko cenu, bez PVN, EUR 8 200,00</w:t>
      </w:r>
    </w:p>
    <w:p w:rsidR="00AF2865" w:rsidRPr="002A1BB7" w:rsidRDefault="00AF2865" w:rsidP="00AF3792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F2865" w:rsidRPr="002D063B" w:rsidRDefault="00AF2865" w:rsidP="00BC78BD">
      <w:pPr>
        <w:pStyle w:val="Punkts"/>
        <w:numPr>
          <w:ilvl w:val="0"/>
          <w:numId w:val="0"/>
        </w:numPr>
        <w:ind w:left="720"/>
      </w:pPr>
    </w:p>
    <w:p w:rsidR="00CE0A4B" w:rsidRDefault="00CE0A4B" w:rsidP="00CE0A4B">
      <w:pPr>
        <w:pStyle w:val="Punkts"/>
        <w:numPr>
          <w:ilvl w:val="0"/>
          <w:numId w:val="0"/>
        </w:numPr>
      </w:pPr>
    </w:p>
    <w:p w:rsidR="00CE0A4B" w:rsidRPr="00CE0A4B" w:rsidRDefault="00CE0A4B" w:rsidP="00CE0A4B"/>
    <w:sectPr w:rsidR="00CE0A4B" w:rsidRPr="00CE0A4B" w:rsidSect="00400E34">
      <w:pgSz w:w="11906" w:h="16838"/>
      <w:pgMar w:top="1440" w:right="1558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598" w:rsidRDefault="006A2598" w:rsidP="008C11E3">
      <w:r>
        <w:separator/>
      </w:r>
    </w:p>
  </w:endnote>
  <w:endnote w:type="continuationSeparator" w:id="0">
    <w:p w:rsidR="006A2598" w:rsidRDefault="006A2598" w:rsidP="008C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598" w:rsidRDefault="006A2598" w:rsidP="008C11E3">
      <w:r>
        <w:separator/>
      </w:r>
    </w:p>
  </w:footnote>
  <w:footnote w:type="continuationSeparator" w:id="0">
    <w:p w:rsidR="006A2598" w:rsidRDefault="006A2598" w:rsidP="008C1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189"/>
    <w:multiLevelType w:val="multilevel"/>
    <w:tmpl w:val="C13CC72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277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">
    <w:nsid w:val="31D8696F"/>
    <w:multiLevelType w:val="multilevel"/>
    <w:tmpl w:val="3186323C"/>
    <w:lvl w:ilvl="0">
      <w:start w:val="1"/>
      <w:numFmt w:val="bullet"/>
      <w:lvlText w:val=""/>
      <w:lvlJc w:val="left"/>
      <w:pPr>
        <w:tabs>
          <w:tab w:val="num" w:pos="1419"/>
        </w:tabs>
        <w:ind w:left="1419" w:hanging="851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862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11"/>
        </w:tabs>
        <w:ind w:left="541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91"/>
        </w:tabs>
        <w:ind w:left="6491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31"/>
        </w:tabs>
        <w:ind w:left="7931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11"/>
        </w:tabs>
        <w:ind w:left="90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51"/>
        </w:tabs>
        <w:ind w:left="10451" w:hanging="1800"/>
      </w:pPr>
      <w:rPr>
        <w:rFonts w:cs="Times New Roman" w:hint="default"/>
      </w:rPr>
    </w:lvl>
  </w:abstractNum>
  <w:abstractNum w:abstractNumId="2">
    <w:nsid w:val="5A036711"/>
    <w:multiLevelType w:val="hybridMultilevel"/>
    <w:tmpl w:val="6D20BC1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F2780"/>
    <w:multiLevelType w:val="hybridMultilevel"/>
    <w:tmpl w:val="FC3AF7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347D8"/>
    <w:multiLevelType w:val="multilevel"/>
    <w:tmpl w:val="F25C32DA"/>
    <w:lvl w:ilvl="0">
      <w:start w:val="1"/>
      <w:numFmt w:val="decimal"/>
      <w:pStyle w:val="Punkts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63A04D90"/>
    <w:multiLevelType w:val="hybridMultilevel"/>
    <w:tmpl w:val="9F9E1218"/>
    <w:lvl w:ilvl="0" w:tplc="37785C28">
      <w:start w:val="20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A11789"/>
    <w:multiLevelType w:val="hybridMultilevel"/>
    <w:tmpl w:val="17F472BC"/>
    <w:lvl w:ilvl="0" w:tplc="04260019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7A060F47"/>
    <w:multiLevelType w:val="hybridMultilevel"/>
    <w:tmpl w:val="E3D4C306"/>
    <w:lvl w:ilvl="0" w:tplc="37785C28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37"/>
    <w:rsid w:val="00072E65"/>
    <w:rsid w:val="00083BBC"/>
    <w:rsid w:val="000D6D94"/>
    <w:rsid w:val="000F315E"/>
    <w:rsid w:val="0017286B"/>
    <w:rsid w:val="001958D6"/>
    <w:rsid w:val="00197CE7"/>
    <w:rsid w:val="001B01C9"/>
    <w:rsid w:val="001D6B32"/>
    <w:rsid w:val="001F3BD0"/>
    <w:rsid w:val="002658ED"/>
    <w:rsid w:val="00266A4D"/>
    <w:rsid w:val="00282D34"/>
    <w:rsid w:val="0028610A"/>
    <w:rsid w:val="002870EC"/>
    <w:rsid w:val="002A1BB7"/>
    <w:rsid w:val="002D063B"/>
    <w:rsid w:val="002E64AF"/>
    <w:rsid w:val="002F2651"/>
    <w:rsid w:val="002F3946"/>
    <w:rsid w:val="0031374C"/>
    <w:rsid w:val="00331878"/>
    <w:rsid w:val="00400E34"/>
    <w:rsid w:val="004A57DC"/>
    <w:rsid w:val="00532B42"/>
    <w:rsid w:val="00533E59"/>
    <w:rsid w:val="00571DD8"/>
    <w:rsid w:val="00576C03"/>
    <w:rsid w:val="005B47AD"/>
    <w:rsid w:val="005B5E19"/>
    <w:rsid w:val="005B7EF4"/>
    <w:rsid w:val="005D07D5"/>
    <w:rsid w:val="005E1C58"/>
    <w:rsid w:val="00663357"/>
    <w:rsid w:val="00673664"/>
    <w:rsid w:val="006920F1"/>
    <w:rsid w:val="006A2598"/>
    <w:rsid w:val="00721C4F"/>
    <w:rsid w:val="00733451"/>
    <w:rsid w:val="00741A0E"/>
    <w:rsid w:val="00795751"/>
    <w:rsid w:val="007A6FCD"/>
    <w:rsid w:val="007C31AC"/>
    <w:rsid w:val="007D45A4"/>
    <w:rsid w:val="00843E3A"/>
    <w:rsid w:val="00897BAD"/>
    <w:rsid w:val="008C11E3"/>
    <w:rsid w:val="008C55CE"/>
    <w:rsid w:val="008D33D8"/>
    <w:rsid w:val="00900C35"/>
    <w:rsid w:val="009313E5"/>
    <w:rsid w:val="00945A36"/>
    <w:rsid w:val="0099014B"/>
    <w:rsid w:val="009B78D0"/>
    <w:rsid w:val="00A0718D"/>
    <w:rsid w:val="00A41E9F"/>
    <w:rsid w:val="00A7119F"/>
    <w:rsid w:val="00A8430D"/>
    <w:rsid w:val="00A878C5"/>
    <w:rsid w:val="00A96BED"/>
    <w:rsid w:val="00AC7049"/>
    <w:rsid w:val="00AD6DC6"/>
    <w:rsid w:val="00AD6E59"/>
    <w:rsid w:val="00AF2865"/>
    <w:rsid w:val="00AF3792"/>
    <w:rsid w:val="00B913DC"/>
    <w:rsid w:val="00BC78BD"/>
    <w:rsid w:val="00C035DC"/>
    <w:rsid w:val="00C127CB"/>
    <w:rsid w:val="00C20760"/>
    <w:rsid w:val="00C35647"/>
    <w:rsid w:val="00C521B7"/>
    <w:rsid w:val="00CD0F44"/>
    <w:rsid w:val="00CD6F37"/>
    <w:rsid w:val="00CE0A4B"/>
    <w:rsid w:val="00D10E9E"/>
    <w:rsid w:val="00D840A0"/>
    <w:rsid w:val="00D84FBE"/>
    <w:rsid w:val="00E018C4"/>
    <w:rsid w:val="00E67C3D"/>
    <w:rsid w:val="00E707F5"/>
    <w:rsid w:val="00F06558"/>
    <w:rsid w:val="00F0760D"/>
    <w:rsid w:val="00F3360D"/>
    <w:rsid w:val="00FE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3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6F37"/>
    <w:pPr>
      <w:keepNext/>
      <w:keepLines/>
      <w:spacing w:before="48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6F37"/>
    <w:pPr>
      <w:keepNext/>
      <w:keepLines/>
      <w:spacing w:before="20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6F37"/>
    <w:pPr>
      <w:keepNext/>
      <w:keepLines/>
      <w:spacing w:before="200"/>
      <w:outlineLvl w:val="2"/>
    </w:pPr>
    <w:rPr>
      <w:rFonts w:ascii="Calibri" w:eastAsia="Calibri" w:hAnsi="Calibri" w:cs="Arial"/>
      <w:b/>
      <w:bCs/>
      <w:sz w:val="26"/>
      <w:szCs w:val="26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19F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6F3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6F3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D6F37"/>
    <w:rPr>
      <w:rFonts w:cs="Arial"/>
      <w:b/>
      <w:bCs/>
      <w:sz w:val="26"/>
      <w:szCs w:val="26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7119F"/>
    <w:rPr>
      <w:rFonts w:ascii="Times New Roman" w:hAnsi="Times New Roman" w:cs="Times New Roman"/>
      <w:b/>
      <w:bCs/>
      <w:i/>
      <w:iCs/>
      <w:sz w:val="26"/>
      <w:szCs w:val="26"/>
      <w:lang w:val="en-GB" w:eastAsia="en-US"/>
    </w:rPr>
  </w:style>
  <w:style w:type="paragraph" w:customStyle="1" w:styleId="Punkts">
    <w:name w:val="Punkts"/>
    <w:basedOn w:val="Normal"/>
    <w:next w:val="Normal"/>
    <w:rsid w:val="00CD6F37"/>
    <w:pPr>
      <w:numPr>
        <w:numId w:val="6"/>
      </w:numPr>
    </w:pPr>
    <w:rPr>
      <w:rFonts w:ascii="Arial" w:hAnsi="Arial"/>
      <w:b/>
      <w:sz w:val="20"/>
    </w:rPr>
  </w:style>
  <w:style w:type="paragraph" w:customStyle="1" w:styleId="Rindkopa">
    <w:name w:val="Rindkopa"/>
    <w:basedOn w:val="Normal"/>
    <w:next w:val="Punkts"/>
    <w:uiPriority w:val="99"/>
    <w:rsid w:val="00CD6F37"/>
    <w:pPr>
      <w:ind w:left="851"/>
      <w:jc w:val="both"/>
    </w:pPr>
    <w:rPr>
      <w:rFonts w:ascii="Arial" w:hAnsi="Arial"/>
      <w:sz w:val="20"/>
    </w:rPr>
  </w:style>
  <w:style w:type="character" w:customStyle="1" w:styleId="Heading1Char1">
    <w:name w:val="Heading 1 Char1"/>
    <w:basedOn w:val="DefaultParagraphFont"/>
    <w:uiPriority w:val="99"/>
    <w:locked/>
    <w:rsid w:val="00CD6F37"/>
    <w:rPr>
      <w:rFonts w:ascii="Cambria" w:hAnsi="Cambria" w:cs="Times New Roman"/>
      <w:b/>
      <w:bCs/>
      <w:color w:val="365F91"/>
      <w:sz w:val="28"/>
      <w:szCs w:val="28"/>
      <w:lang w:eastAsia="lv-LV"/>
    </w:rPr>
  </w:style>
  <w:style w:type="character" w:customStyle="1" w:styleId="Heading2Char1">
    <w:name w:val="Heading 2 Char1"/>
    <w:basedOn w:val="DefaultParagraphFont"/>
    <w:uiPriority w:val="99"/>
    <w:semiHidden/>
    <w:locked/>
    <w:rsid w:val="00CD6F37"/>
    <w:rPr>
      <w:rFonts w:ascii="Cambria" w:hAnsi="Cambria" w:cs="Times New Roman"/>
      <w:b/>
      <w:bCs/>
      <w:color w:val="4F81BD"/>
      <w:sz w:val="26"/>
      <w:szCs w:val="26"/>
      <w:lang w:eastAsia="lv-LV"/>
    </w:rPr>
  </w:style>
  <w:style w:type="character" w:customStyle="1" w:styleId="Heading3Char1">
    <w:name w:val="Heading 3 Char1"/>
    <w:basedOn w:val="DefaultParagraphFont"/>
    <w:uiPriority w:val="99"/>
    <w:semiHidden/>
    <w:locked/>
    <w:rsid w:val="00CD6F37"/>
    <w:rPr>
      <w:rFonts w:ascii="Cambria" w:hAnsi="Cambria" w:cs="Times New Roman"/>
      <w:b/>
      <w:bCs/>
      <w:color w:val="4F81BD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rsid w:val="00663357"/>
    <w:rPr>
      <w:rFonts w:cs="Times New Roman"/>
      <w:color w:val="0000FF"/>
      <w:u w:val="single"/>
    </w:rPr>
  </w:style>
  <w:style w:type="paragraph" w:customStyle="1" w:styleId="nDaa">
    <w:name w:val="nDaļa"/>
    <w:basedOn w:val="Normal"/>
    <w:rsid w:val="00A7119F"/>
    <w:pPr>
      <w:jc w:val="center"/>
    </w:pPr>
    <w:rPr>
      <w:rFonts w:ascii="Arial" w:hAnsi="Arial" w:cs="Arial"/>
      <w:b/>
      <w:bCs/>
      <w:sz w:val="20"/>
      <w:lang w:eastAsia="en-US"/>
    </w:rPr>
  </w:style>
  <w:style w:type="paragraph" w:customStyle="1" w:styleId="naiskr">
    <w:name w:val="naiskr"/>
    <w:basedOn w:val="Normal"/>
    <w:rsid w:val="00A7119F"/>
    <w:pPr>
      <w:spacing w:before="75" w:after="75"/>
    </w:pPr>
  </w:style>
  <w:style w:type="paragraph" w:styleId="CommentText">
    <w:name w:val="annotation text"/>
    <w:basedOn w:val="Normal"/>
    <w:link w:val="CommentTextChar"/>
    <w:semiHidden/>
    <w:rsid w:val="007C31AC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C31AC"/>
    <w:rPr>
      <w:rFonts w:ascii="Times New Roman" w:hAnsi="Times New Roman" w:cs="Times New Roman"/>
      <w:lang w:eastAsia="en-US"/>
    </w:rPr>
  </w:style>
  <w:style w:type="paragraph" w:customStyle="1" w:styleId="Apakpunkts">
    <w:name w:val="Apakšpunkts"/>
    <w:basedOn w:val="Normal"/>
    <w:link w:val="ApakpunktsChar"/>
    <w:rsid w:val="00E707F5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Rindkopa"/>
    <w:rsid w:val="00E707F5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character" w:customStyle="1" w:styleId="apple-style-span">
    <w:name w:val="apple-style-span"/>
    <w:basedOn w:val="DefaultParagraphFont"/>
    <w:uiPriority w:val="99"/>
    <w:rsid w:val="00E707F5"/>
    <w:rPr>
      <w:rFonts w:cs="Times New Roman"/>
    </w:rPr>
  </w:style>
  <w:style w:type="paragraph" w:styleId="ListParagraph">
    <w:name w:val="List Paragraph"/>
    <w:basedOn w:val="Normal"/>
    <w:uiPriority w:val="99"/>
    <w:qFormat/>
    <w:rsid w:val="00E707F5"/>
    <w:pPr>
      <w:ind w:left="720"/>
    </w:pPr>
  </w:style>
  <w:style w:type="character" w:customStyle="1" w:styleId="ApakpunktsChar">
    <w:name w:val="Apakšpunkts Char"/>
    <w:basedOn w:val="DefaultParagraphFont"/>
    <w:link w:val="Apakpunkts"/>
    <w:uiPriority w:val="99"/>
    <w:locked/>
    <w:rsid w:val="005D07D5"/>
    <w:rPr>
      <w:rFonts w:ascii="Arial" w:hAnsi="Arial" w:cs="Times New Roman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8C11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C11E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C11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1E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E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C7049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C7049"/>
    <w:rPr>
      <w:rFonts w:ascii="Times New Roman" w:eastAsia="Times New Roman" w:hAnsi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3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6F37"/>
    <w:pPr>
      <w:keepNext/>
      <w:keepLines/>
      <w:spacing w:before="48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6F37"/>
    <w:pPr>
      <w:keepNext/>
      <w:keepLines/>
      <w:spacing w:before="20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6F37"/>
    <w:pPr>
      <w:keepNext/>
      <w:keepLines/>
      <w:spacing w:before="200"/>
      <w:outlineLvl w:val="2"/>
    </w:pPr>
    <w:rPr>
      <w:rFonts w:ascii="Calibri" w:eastAsia="Calibri" w:hAnsi="Calibri" w:cs="Arial"/>
      <w:b/>
      <w:bCs/>
      <w:sz w:val="26"/>
      <w:szCs w:val="26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19F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6F3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6F3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D6F37"/>
    <w:rPr>
      <w:rFonts w:cs="Arial"/>
      <w:b/>
      <w:bCs/>
      <w:sz w:val="26"/>
      <w:szCs w:val="26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7119F"/>
    <w:rPr>
      <w:rFonts w:ascii="Times New Roman" w:hAnsi="Times New Roman" w:cs="Times New Roman"/>
      <w:b/>
      <w:bCs/>
      <w:i/>
      <w:iCs/>
      <w:sz w:val="26"/>
      <w:szCs w:val="26"/>
      <w:lang w:val="en-GB" w:eastAsia="en-US"/>
    </w:rPr>
  </w:style>
  <w:style w:type="paragraph" w:customStyle="1" w:styleId="Punkts">
    <w:name w:val="Punkts"/>
    <w:basedOn w:val="Normal"/>
    <w:next w:val="Normal"/>
    <w:rsid w:val="00CD6F37"/>
    <w:pPr>
      <w:numPr>
        <w:numId w:val="6"/>
      </w:numPr>
    </w:pPr>
    <w:rPr>
      <w:rFonts w:ascii="Arial" w:hAnsi="Arial"/>
      <w:b/>
      <w:sz w:val="20"/>
    </w:rPr>
  </w:style>
  <w:style w:type="paragraph" w:customStyle="1" w:styleId="Rindkopa">
    <w:name w:val="Rindkopa"/>
    <w:basedOn w:val="Normal"/>
    <w:next w:val="Punkts"/>
    <w:uiPriority w:val="99"/>
    <w:rsid w:val="00CD6F37"/>
    <w:pPr>
      <w:ind w:left="851"/>
      <w:jc w:val="both"/>
    </w:pPr>
    <w:rPr>
      <w:rFonts w:ascii="Arial" w:hAnsi="Arial"/>
      <w:sz w:val="20"/>
    </w:rPr>
  </w:style>
  <w:style w:type="character" w:customStyle="1" w:styleId="Heading1Char1">
    <w:name w:val="Heading 1 Char1"/>
    <w:basedOn w:val="DefaultParagraphFont"/>
    <w:uiPriority w:val="99"/>
    <w:locked/>
    <w:rsid w:val="00CD6F37"/>
    <w:rPr>
      <w:rFonts w:ascii="Cambria" w:hAnsi="Cambria" w:cs="Times New Roman"/>
      <w:b/>
      <w:bCs/>
      <w:color w:val="365F91"/>
      <w:sz w:val="28"/>
      <w:szCs w:val="28"/>
      <w:lang w:eastAsia="lv-LV"/>
    </w:rPr>
  </w:style>
  <w:style w:type="character" w:customStyle="1" w:styleId="Heading2Char1">
    <w:name w:val="Heading 2 Char1"/>
    <w:basedOn w:val="DefaultParagraphFont"/>
    <w:uiPriority w:val="99"/>
    <w:semiHidden/>
    <w:locked/>
    <w:rsid w:val="00CD6F37"/>
    <w:rPr>
      <w:rFonts w:ascii="Cambria" w:hAnsi="Cambria" w:cs="Times New Roman"/>
      <w:b/>
      <w:bCs/>
      <w:color w:val="4F81BD"/>
      <w:sz w:val="26"/>
      <w:szCs w:val="26"/>
      <w:lang w:eastAsia="lv-LV"/>
    </w:rPr>
  </w:style>
  <w:style w:type="character" w:customStyle="1" w:styleId="Heading3Char1">
    <w:name w:val="Heading 3 Char1"/>
    <w:basedOn w:val="DefaultParagraphFont"/>
    <w:uiPriority w:val="99"/>
    <w:semiHidden/>
    <w:locked/>
    <w:rsid w:val="00CD6F37"/>
    <w:rPr>
      <w:rFonts w:ascii="Cambria" w:hAnsi="Cambria" w:cs="Times New Roman"/>
      <w:b/>
      <w:bCs/>
      <w:color w:val="4F81BD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rsid w:val="00663357"/>
    <w:rPr>
      <w:rFonts w:cs="Times New Roman"/>
      <w:color w:val="0000FF"/>
      <w:u w:val="single"/>
    </w:rPr>
  </w:style>
  <w:style w:type="paragraph" w:customStyle="1" w:styleId="nDaa">
    <w:name w:val="nDaļa"/>
    <w:basedOn w:val="Normal"/>
    <w:rsid w:val="00A7119F"/>
    <w:pPr>
      <w:jc w:val="center"/>
    </w:pPr>
    <w:rPr>
      <w:rFonts w:ascii="Arial" w:hAnsi="Arial" w:cs="Arial"/>
      <w:b/>
      <w:bCs/>
      <w:sz w:val="20"/>
      <w:lang w:eastAsia="en-US"/>
    </w:rPr>
  </w:style>
  <w:style w:type="paragraph" w:customStyle="1" w:styleId="naiskr">
    <w:name w:val="naiskr"/>
    <w:basedOn w:val="Normal"/>
    <w:rsid w:val="00A7119F"/>
    <w:pPr>
      <w:spacing w:before="75" w:after="75"/>
    </w:pPr>
  </w:style>
  <w:style w:type="paragraph" w:styleId="CommentText">
    <w:name w:val="annotation text"/>
    <w:basedOn w:val="Normal"/>
    <w:link w:val="CommentTextChar"/>
    <w:semiHidden/>
    <w:rsid w:val="007C31AC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C31AC"/>
    <w:rPr>
      <w:rFonts w:ascii="Times New Roman" w:hAnsi="Times New Roman" w:cs="Times New Roman"/>
      <w:lang w:eastAsia="en-US"/>
    </w:rPr>
  </w:style>
  <w:style w:type="paragraph" w:customStyle="1" w:styleId="Apakpunkts">
    <w:name w:val="Apakšpunkts"/>
    <w:basedOn w:val="Normal"/>
    <w:link w:val="ApakpunktsChar"/>
    <w:rsid w:val="00E707F5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Rindkopa"/>
    <w:rsid w:val="00E707F5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character" w:customStyle="1" w:styleId="apple-style-span">
    <w:name w:val="apple-style-span"/>
    <w:basedOn w:val="DefaultParagraphFont"/>
    <w:uiPriority w:val="99"/>
    <w:rsid w:val="00E707F5"/>
    <w:rPr>
      <w:rFonts w:cs="Times New Roman"/>
    </w:rPr>
  </w:style>
  <w:style w:type="paragraph" w:styleId="ListParagraph">
    <w:name w:val="List Paragraph"/>
    <w:basedOn w:val="Normal"/>
    <w:uiPriority w:val="99"/>
    <w:qFormat/>
    <w:rsid w:val="00E707F5"/>
    <w:pPr>
      <w:ind w:left="720"/>
    </w:pPr>
  </w:style>
  <w:style w:type="character" w:customStyle="1" w:styleId="ApakpunktsChar">
    <w:name w:val="Apakšpunkts Char"/>
    <w:basedOn w:val="DefaultParagraphFont"/>
    <w:link w:val="Apakpunkts"/>
    <w:uiPriority w:val="99"/>
    <w:locked/>
    <w:rsid w:val="005D07D5"/>
    <w:rPr>
      <w:rFonts w:ascii="Arial" w:hAnsi="Arial" w:cs="Times New Roman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8C11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C11E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C11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1E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E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C7049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C7049"/>
    <w:rPr>
      <w:rFonts w:ascii="Times New Roman" w:eastAsia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.eu.in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1643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 „Zeiferti”, vien</vt:lpstr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 „Zeiferti”, vien</dc:title>
  <dc:creator>User</dc:creator>
  <cp:lastModifiedBy>Irina</cp:lastModifiedBy>
  <cp:revision>2</cp:revision>
  <dcterms:created xsi:type="dcterms:W3CDTF">2015-03-19T06:30:00Z</dcterms:created>
  <dcterms:modified xsi:type="dcterms:W3CDTF">2015-03-19T06:30:00Z</dcterms:modified>
</cp:coreProperties>
</file>